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6E55" w:rsidRDefault="00A44BD3">
      <w:pPr>
        <w:spacing w:line="259" w:lineRule="auto"/>
        <w:ind w:left="4723" w:hanging="4724"/>
      </w:pPr>
      <w:bookmarkStart w:id="0" w:name="_GoBack"/>
      <w:bookmarkEnd w:id="0"/>
      <w:r>
        <w:rPr>
          <w:noProof/>
        </w:rPr>
        <w:drawing>
          <wp:anchor distT="0" distB="0" distL="114300" distR="114300" simplePos="0" relativeHeight="251658240" behindDoc="0" locked="0" layoutInCell="1" allowOverlap="0">
            <wp:simplePos x="0" y="0"/>
            <wp:positionH relativeFrom="margin">
              <wp:posOffset>5687943</wp:posOffset>
            </wp:positionH>
            <wp:positionV relativeFrom="paragraph">
              <wp:posOffset>-120775</wp:posOffset>
            </wp:positionV>
            <wp:extent cx="749857" cy="259159"/>
            <wp:effectExtent l="0" t="0" r="0" b="0"/>
            <wp:wrapSquare wrapText="bothSides"/>
            <wp:docPr id="6252" name="Picture 6252"/>
            <wp:cNvGraphicFramePr/>
            <a:graphic xmlns:a="http://schemas.openxmlformats.org/drawingml/2006/main">
              <a:graphicData uri="http://schemas.openxmlformats.org/drawingml/2006/picture">
                <pic:pic xmlns:pic="http://schemas.openxmlformats.org/drawingml/2006/picture">
                  <pic:nvPicPr>
                    <pic:cNvPr id="6252" name="Picture 6252"/>
                    <pic:cNvPicPr/>
                  </pic:nvPicPr>
                  <pic:blipFill>
                    <a:blip r:embed="rId5"/>
                    <a:stretch>
                      <a:fillRect/>
                    </a:stretch>
                  </pic:blipFill>
                  <pic:spPr>
                    <a:xfrm>
                      <a:off x="0" y="0"/>
                      <a:ext cx="749857" cy="259159"/>
                    </a:xfrm>
                    <a:prstGeom prst="rect">
                      <a:avLst/>
                    </a:prstGeom>
                  </pic:spPr>
                </pic:pic>
              </a:graphicData>
            </a:graphic>
          </wp:anchor>
        </w:drawing>
      </w:r>
      <w:r>
        <w:rPr>
          <w:sz w:val="22"/>
        </w:rPr>
        <w:t xml:space="preserve">Instructions to Offerors U.S. Department of Housing and Urban Development </w:t>
      </w:r>
      <w:r>
        <w:rPr>
          <w:sz w:val="22"/>
        </w:rPr>
        <w:t>-03291 -</w:t>
      </w:r>
    </w:p>
    <w:p w:rsidR="00D06E55" w:rsidRDefault="00A44BD3">
      <w:pPr>
        <w:tabs>
          <w:tab w:val="center" w:pos="6152"/>
        </w:tabs>
        <w:spacing w:after="228"/>
        <w:ind w:left="0" w:firstLine="0"/>
        <w:jc w:val="left"/>
      </w:pPr>
      <w:r>
        <w:rPr>
          <w:noProof/>
          <w:sz w:val="22"/>
        </w:rPr>
        <mc:AlternateContent>
          <mc:Choice Requires="wpg">
            <w:drawing>
              <wp:anchor distT="0" distB="0" distL="114300" distR="114300" simplePos="0" relativeHeight="251659264" behindDoc="0" locked="0" layoutInCell="1" allowOverlap="1">
                <wp:simplePos x="0" y="0"/>
                <wp:positionH relativeFrom="margin">
                  <wp:posOffset>-9144</wp:posOffset>
                </wp:positionH>
                <wp:positionV relativeFrom="paragraph">
                  <wp:posOffset>134980</wp:posOffset>
                </wp:positionV>
                <wp:extent cx="7300441" cy="9147"/>
                <wp:effectExtent l="0" t="0" r="0" b="0"/>
                <wp:wrapTopAndBottom/>
                <wp:docPr id="20785" name="Group 20785"/>
                <wp:cNvGraphicFramePr/>
                <a:graphic xmlns:a="http://schemas.openxmlformats.org/drawingml/2006/main">
                  <a:graphicData uri="http://schemas.microsoft.com/office/word/2010/wordprocessingGroup">
                    <wpg:wgp>
                      <wpg:cNvGrpSpPr/>
                      <wpg:grpSpPr>
                        <a:xfrm>
                          <a:off x="0" y="0"/>
                          <a:ext cx="7300441" cy="9147"/>
                          <a:chOff x="0" y="0"/>
                          <a:chExt cx="7300441" cy="9147"/>
                        </a:xfrm>
                      </wpg:grpSpPr>
                      <wps:wsp>
                        <wps:cNvPr id="20784" name="Shape 20784"/>
                        <wps:cNvSpPr/>
                        <wps:spPr>
                          <a:xfrm>
                            <a:off x="0" y="0"/>
                            <a:ext cx="7300441" cy="9147"/>
                          </a:xfrm>
                          <a:custGeom>
                            <a:avLst/>
                            <a:gdLst/>
                            <a:ahLst/>
                            <a:cxnLst/>
                            <a:rect l="0" t="0" r="0" b="0"/>
                            <a:pathLst>
                              <a:path w="7300441" h="9147">
                                <a:moveTo>
                                  <a:pt x="0" y="4573"/>
                                </a:moveTo>
                                <a:lnTo>
                                  <a:pt x="7300441" y="4573"/>
                                </a:lnTo>
                              </a:path>
                            </a:pathLst>
                          </a:custGeom>
                          <a:ln w="9147" cap="flat">
                            <a:miter lim="100000"/>
                          </a:ln>
                        </wps:spPr>
                        <wps:style>
                          <a:lnRef idx="1">
                            <a:srgbClr val="000000"/>
                          </a:lnRef>
                          <a:fillRef idx="0">
                            <a:srgbClr val="000000"/>
                          </a:fillRef>
                          <a:effectRef idx="0">
                            <a:scrgbClr r="0" g="0" b="0"/>
                          </a:effectRef>
                          <a:fontRef idx="none"/>
                        </wps:style>
                        <wps:bodyPr/>
                      </wps:wsp>
                    </wpg:wgp>
                  </a:graphicData>
                </a:graphic>
              </wp:anchor>
            </w:drawing>
          </mc:Choice>
          <mc:Fallback xmlns:a="http://schemas.openxmlformats.org/drawingml/2006/main">
            <w:pict>
              <v:group id="Group 20785" style="width:574.838pt;height:0.720222pt;position:absolute;mso-position-horizontal-relative:margin;mso-position-horizontal:absolute;margin-left:-0.720047pt;mso-position-vertical-relative:text;margin-top:10.6283pt;" coordsize="73004,91">
                <v:shape id="Shape 20784" style="position:absolute;width:73004;height:91;left:0;top:0;" coordsize="7300441,9147" path="m0,4573l7300441,4573">
                  <v:stroke weight="0.720222pt" endcap="flat" joinstyle="miter" miterlimit="1" on="true" color="#000000"/>
                  <v:fill on="false" color="#000000"/>
                </v:shape>
                <w10:wrap type="topAndBottom"/>
              </v:group>
            </w:pict>
          </mc:Fallback>
        </mc:AlternateContent>
      </w:r>
      <w:r>
        <w:t>Non-Construction</w:t>
      </w:r>
      <w:r>
        <w:tab/>
        <w:t>Office of Public and Indian Housing</w:t>
      </w:r>
    </w:p>
    <w:p w:rsidR="00D06E55" w:rsidRDefault="00A44BD3">
      <w:pPr>
        <w:spacing w:before="328" w:after="4" w:line="259" w:lineRule="auto"/>
        <w:ind w:left="1406"/>
      </w:pPr>
      <w:r>
        <w:rPr>
          <w:sz w:val="22"/>
        </w:rPr>
        <w:t>of Offers</w:t>
      </w:r>
    </w:p>
    <w:p w:rsidR="00D06E55" w:rsidRDefault="00D06E55">
      <w:pPr>
        <w:sectPr w:rsidR="00D06E55">
          <w:pgSz w:w="12140" w:h="15840"/>
          <w:pgMar w:top="598" w:right="2165" w:bottom="378" w:left="245" w:header="720" w:footer="720" w:gutter="0"/>
          <w:cols w:space="720"/>
        </w:sectPr>
      </w:pPr>
    </w:p>
    <w:p w:rsidR="00D06E55" w:rsidRDefault="00A44BD3">
      <w:pPr>
        <w:spacing w:after="4" w:line="259" w:lineRule="auto"/>
        <w:ind w:left="-1"/>
      </w:pPr>
      <w:r>
        <w:rPr>
          <w:sz w:val="22"/>
        </w:rPr>
        <w:t xml:space="preserve">1. Preparation </w:t>
      </w:r>
    </w:p>
    <w:p w:rsidR="00D06E55" w:rsidRDefault="00A44BD3">
      <w:pPr>
        <w:numPr>
          <w:ilvl w:val="0"/>
          <w:numId w:val="1"/>
        </w:numPr>
        <w:spacing w:after="59"/>
        <w:ind w:right="96"/>
      </w:pPr>
      <w:r>
        <w:t>Offerors are expected to examine the statement of work, the proposed contract terms and conditions, and all instructions. Failure to do so will be at the offeror's risk.</w:t>
      </w:r>
    </w:p>
    <w:p w:rsidR="00D06E55" w:rsidRDefault="00A44BD3">
      <w:pPr>
        <w:numPr>
          <w:ilvl w:val="0"/>
          <w:numId w:val="1"/>
        </w:numPr>
        <w:spacing w:after="53"/>
        <w:ind w:right="96"/>
      </w:pPr>
      <w:r>
        <w:t>Each offeror shall furnish the information required by the solicitation. The offeror s</w:t>
      </w:r>
      <w:r>
        <w:t>hall sign the offer and print or type its name on the cover sheet and each continuation sheet on which it makes an entry. Erasures or other changes must be initialed by the person signing the offer. Offers signed by an agent shall be accompanied by evidenc</w:t>
      </w:r>
      <w:r>
        <w:t>e of that agent's authority, unless that evidence has been previously furnished to the HA.</w:t>
      </w:r>
    </w:p>
    <w:p w:rsidR="00D06E55" w:rsidRDefault="00A44BD3">
      <w:pPr>
        <w:numPr>
          <w:ilvl w:val="0"/>
          <w:numId w:val="1"/>
        </w:numPr>
        <w:spacing w:after="207" w:line="381" w:lineRule="auto"/>
        <w:ind w:right="96"/>
      </w:pPr>
      <w:r>
        <w:t>Offers for services other than those specified will not be consid</w:t>
      </w:r>
      <w:r>
        <w:t>ered.</w:t>
      </w:r>
    </w:p>
    <w:p w:rsidR="00D06E55" w:rsidRDefault="00A44BD3">
      <w:pPr>
        <w:pStyle w:val="Heading1"/>
        <w:ind w:right="1608"/>
      </w:pPr>
      <w:r>
        <w:t>2. Submission of Offers</w:t>
      </w:r>
    </w:p>
    <w:p w:rsidR="00D06E55" w:rsidRDefault="00A44BD3">
      <w:pPr>
        <w:numPr>
          <w:ilvl w:val="0"/>
          <w:numId w:val="2"/>
        </w:numPr>
        <w:spacing w:after="71"/>
        <w:ind w:right="9"/>
      </w:pPr>
      <w:r>
        <w:t>Offers and modifications thereof shall be submitted in sealed envelope</w:t>
      </w:r>
      <w:r>
        <w:t>s or packages (1) addressed to the office specified in the solicitation, and (2) showing the time specified for receipt, the solicitation number, and the name and address of the offeror.</w:t>
      </w:r>
    </w:p>
    <w:p w:rsidR="00D06E55" w:rsidRDefault="00A44BD3">
      <w:pPr>
        <w:numPr>
          <w:ilvl w:val="0"/>
          <w:numId w:val="2"/>
        </w:numPr>
        <w:spacing w:after="69" w:line="221" w:lineRule="auto"/>
        <w:ind w:right="9"/>
      </w:pPr>
      <w:r>
        <w:t>Telegraphic offers will not be considered unless authorized by the so</w:t>
      </w:r>
      <w:r>
        <w:t>licitation; however, offers may be modified by written or telegraphic notice.</w:t>
      </w:r>
    </w:p>
    <w:p w:rsidR="00D06E55" w:rsidRDefault="00A44BD3">
      <w:pPr>
        <w:numPr>
          <w:ilvl w:val="0"/>
          <w:numId w:val="2"/>
        </w:numPr>
        <w:spacing w:after="229"/>
        <w:ind w:right="9"/>
      </w:pPr>
      <w:r>
        <w:t>Facsimile offers, modifications or withdrawals will not be considered unless authorized by the solicitation.</w:t>
      </w:r>
    </w:p>
    <w:p w:rsidR="00D06E55" w:rsidRDefault="00A44BD3">
      <w:pPr>
        <w:pStyle w:val="Heading1"/>
        <w:ind w:right="1608"/>
      </w:pPr>
      <w:r>
        <w:t>3. Amendments to Solicitations</w:t>
      </w:r>
    </w:p>
    <w:p w:rsidR="00D06E55" w:rsidRDefault="00A44BD3">
      <w:pPr>
        <w:numPr>
          <w:ilvl w:val="0"/>
          <w:numId w:val="3"/>
        </w:numPr>
        <w:spacing w:after="80"/>
        <w:ind w:right="9"/>
      </w:pPr>
      <w:r>
        <w:t>If this solicitation is amended, then all terms and conditions which are not modified remain unchanged.</w:t>
      </w:r>
    </w:p>
    <w:p w:rsidR="00D06E55" w:rsidRDefault="00A44BD3">
      <w:pPr>
        <w:numPr>
          <w:ilvl w:val="0"/>
          <w:numId w:val="3"/>
        </w:numPr>
        <w:spacing w:after="0"/>
        <w:ind w:right="9"/>
      </w:pPr>
      <w:r>
        <w:t>Offerors shall acknowledge receipt of any amendments to this solicitation by</w:t>
      </w:r>
    </w:p>
    <w:p w:rsidR="00D06E55" w:rsidRDefault="00A44BD3">
      <w:pPr>
        <w:numPr>
          <w:ilvl w:val="1"/>
          <w:numId w:val="3"/>
        </w:numPr>
        <w:ind w:right="9"/>
      </w:pPr>
      <w:r>
        <w:t>signing and returning the amendment;</w:t>
      </w:r>
    </w:p>
    <w:p w:rsidR="00D06E55" w:rsidRDefault="00A44BD3">
      <w:pPr>
        <w:numPr>
          <w:ilvl w:val="1"/>
          <w:numId w:val="3"/>
        </w:numPr>
        <w:spacing w:after="0"/>
        <w:ind w:right="9"/>
      </w:pPr>
      <w:r>
        <w:t>identifying the amendment number and d</w:t>
      </w:r>
      <w:r>
        <w:t>ate in the space provided for this purpose on the form for submitting an offer, (3) letter or telegram, or</w:t>
      </w:r>
    </w:p>
    <w:p w:rsidR="00D06E55" w:rsidRDefault="00A44BD3">
      <w:pPr>
        <w:spacing w:after="216"/>
        <w:ind w:left="667" w:right="9" w:hanging="312"/>
      </w:pPr>
      <w:r>
        <w:rPr>
          <w:noProof/>
        </w:rPr>
        <w:drawing>
          <wp:anchor distT="0" distB="0" distL="114300" distR="114300" simplePos="0" relativeHeight="251660288" behindDoc="0" locked="0" layoutInCell="1" allowOverlap="0">
            <wp:simplePos x="0" y="0"/>
            <wp:positionH relativeFrom="margin">
              <wp:posOffset>2545248</wp:posOffset>
            </wp:positionH>
            <wp:positionV relativeFrom="paragraph">
              <wp:posOffset>671469</wp:posOffset>
            </wp:positionV>
            <wp:extent cx="9145" cy="3049"/>
            <wp:effectExtent l="0" t="0" r="0" b="0"/>
            <wp:wrapSquare wrapText="bothSides"/>
            <wp:docPr id="6175" name="Picture 6175"/>
            <wp:cNvGraphicFramePr/>
            <a:graphic xmlns:a="http://schemas.openxmlformats.org/drawingml/2006/main">
              <a:graphicData uri="http://schemas.openxmlformats.org/drawingml/2006/picture">
                <pic:pic xmlns:pic="http://schemas.openxmlformats.org/drawingml/2006/picture">
                  <pic:nvPicPr>
                    <pic:cNvPr id="6175" name="Picture 6175"/>
                    <pic:cNvPicPr/>
                  </pic:nvPicPr>
                  <pic:blipFill>
                    <a:blip r:embed="rId6"/>
                    <a:stretch>
                      <a:fillRect/>
                    </a:stretch>
                  </pic:blipFill>
                  <pic:spPr>
                    <a:xfrm>
                      <a:off x="0" y="0"/>
                      <a:ext cx="9145" cy="3049"/>
                    </a:xfrm>
                    <a:prstGeom prst="rect">
                      <a:avLst/>
                    </a:prstGeom>
                  </pic:spPr>
                </pic:pic>
              </a:graphicData>
            </a:graphic>
          </wp:anchor>
        </w:drawing>
      </w:r>
      <w:r>
        <w:t xml:space="preserve">(4) facsimile, if facsimile offers are authorized in the solicitation. The HA/HUD must receive the acknowledgment by the time specified for receipt </w:t>
      </w:r>
      <w:r>
        <w:t>of offers.</w:t>
      </w:r>
    </w:p>
    <w:p w:rsidR="00D06E55" w:rsidRDefault="00A44BD3">
      <w:pPr>
        <w:pStyle w:val="Heading1"/>
        <w:ind w:right="1608"/>
      </w:pPr>
      <w:r>
        <w:t>4. Explanation to Prospective Offerors</w:t>
      </w:r>
    </w:p>
    <w:p w:rsidR="00D06E55" w:rsidRDefault="00A44BD3">
      <w:pPr>
        <w:spacing w:after="220"/>
        <w:ind w:left="4" w:right="9"/>
      </w:pPr>
      <w:r>
        <w:rPr>
          <w:noProof/>
        </w:rPr>
        <w:drawing>
          <wp:anchor distT="0" distB="0" distL="114300" distR="114300" simplePos="0" relativeHeight="251661312" behindDoc="0" locked="0" layoutInCell="1" allowOverlap="0">
            <wp:simplePos x="0" y="0"/>
            <wp:positionH relativeFrom="margin">
              <wp:posOffset>76205</wp:posOffset>
            </wp:positionH>
            <wp:positionV relativeFrom="paragraph">
              <wp:posOffset>1121349</wp:posOffset>
            </wp:positionV>
            <wp:extent cx="179844" cy="88419"/>
            <wp:effectExtent l="0" t="0" r="0" b="0"/>
            <wp:wrapSquare wrapText="bothSides"/>
            <wp:docPr id="6176" name="Picture 6176"/>
            <wp:cNvGraphicFramePr/>
            <a:graphic xmlns:a="http://schemas.openxmlformats.org/drawingml/2006/main">
              <a:graphicData uri="http://schemas.openxmlformats.org/drawingml/2006/picture">
                <pic:pic xmlns:pic="http://schemas.openxmlformats.org/drawingml/2006/picture">
                  <pic:nvPicPr>
                    <pic:cNvPr id="6176" name="Picture 6176"/>
                    <pic:cNvPicPr/>
                  </pic:nvPicPr>
                  <pic:blipFill>
                    <a:blip r:embed="rId7"/>
                    <a:stretch>
                      <a:fillRect/>
                    </a:stretch>
                  </pic:blipFill>
                  <pic:spPr>
                    <a:xfrm>
                      <a:off x="0" y="0"/>
                      <a:ext cx="179844" cy="88419"/>
                    </a:xfrm>
                    <a:prstGeom prst="rect">
                      <a:avLst/>
                    </a:prstGeom>
                  </pic:spPr>
                </pic:pic>
              </a:graphicData>
            </a:graphic>
          </wp:anchor>
        </w:drawing>
      </w:r>
      <w:r>
        <w:rPr>
          <w:noProof/>
        </w:rPr>
        <w:drawing>
          <wp:anchor distT="0" distB="0" distL="114300" distR="114300" simplePos="0" relativeHeight="251662336" behindDoc="0" locked="0" layoutInCell="1" allowOverlap="0">
            <wp:simplePos x="0" y="0"/>
            <wp:positionH relativeFrom="margin">
              <wp:posOffset>51819</wp:posOffset>
            </wp:positionH>
            <wp:positionV relativeFrom="paragraph">
              <wp:posOffset>1121349</wp:posOffset>
            </wp:positionV>
            <wp:extent cx="15241" cy="88419"/>
            <wp:effectExtent l="0" t="0" r="0" b="0"/>
            <wp:wrapSquare wrapText="bothSides"/>
            <wp:docPr id="6177" name="Picture 6177"/>
            <wp:cNvGraphicFramePr/>
            <a:graphic xmlns:a="http://schemas.openxmlformats.org/drawingml/2006/main">
              <a:graphicData uri="http://schemas.openxmlformats.org/drawingml/2006/picture">
                <pic:pic xmlns:pic="http://schemas.openxmlformats.org/drawingml/2006/picture">
                  <pic:nvPicPr>
                    <pic:cNvPr id="6177" name="Picture 6177"/>
                    <pic:cNvPicPr/>
                  </pic:nvPicPr>
                  <pic:blipFill>
                    <a:blip r:embed="rId8"/>
                    <a:stretch>
                      <a:fillRect/>
                    </a:stretch>
                  </pic:blipFill>
                  <pic:spPr>
                    <a:xfrm>
                      <a:off x="0" y="0"/>
                      <a:ext cx="15241" cy="88419"/>
                    </a:xfrm>
                    <a:prstGeom prst="rect">
                      <a:avLst/>
                    </a:prstGeom>
                  </pic:spPr>
                </pic:pic>
              </a:graphicData>
            </a:graphic>
          </wp:anchor>
        </w:drawing>
      </w:r>
      <w:r>
        <w:t xml:space="preserve">Any prospective offeror </w:t>
      </w:r>
      <w:proofErr w:type="spellStart"/>
      <w:r>
        <w:t>desiting</w:t>
      </w:r>
      <w:proofErr w:type="spellEnd"/>
      <w:r>
        <w:t xml:space="preserve"> an explanation or interpretation of the solicitation, statement of work, etc., must request it in writing soon enough to allow a reply to reach all prospective offerors be</w:t>
      </w:r>
      <w:r>
        <w:t xml:space="preserve">fore the submission of their offers. </w:t>
      </w:r>
      <w:proofErr w:type="gramStart"/>
      <w:r>
        <w:t>Ora( explanations</w:t>
      </w:r>
      <w:proofErr w:type="gramEnd"/>
      <w:r>
        <w:t xml:space="preserve"> or instructions given before the award of the contract will not be binding. Any information given to a prospective offeror concerning a solicitation will be furnished promptly to all other prospective </w:t>
      </w:r>
      <w:r>
        <w:t>offerors as an amendment of the solicitation, if that information is necessary in submitting offers or if the of it would be prejudicial to any other prospective offerors.</w:t>
      </w:r>
    </w:p>
    <w:p w:rsidR="00D06E55" w:rsidRDefault="00A44BD3">
      <w:pPr>
        <w:pStyle w:val="Heading1"/>
        <w:ind w:left="92" w:right="1608"/>
      </w:pPr>
      <w:r>
        <w:t>5. Responsibility of Prospective Contractor</w:t>
      </w:r>
    </w:p>
    <w:p w:rsidR="00D06E55" w:rsidRDefault="00A44BD3">
      <w:pPr>
        <w:numPr>
          <w:ilvl w:val="0"/>
          <w:numId w:val="4"/>
        </w:numPr>
        <w:spacing w:after="0"/>
        <w:ind w:right="65"/>
      </w:pPr>
      <w:r>
        <w:t xml:space="preserve">The HA shall award a contract only to a </w:t>
      </w:r>
      <w:r>
        <w:t>responsible prospective contractor who is able to perform successfully under the terms and conditions of the proposed contract. To be determined responsible, a prospective contractor must -</w:t>
      </w:r>
    </w:p>
    <w:p w:rsidR="00D06E55" w:rsidRDefault="00A44BD3">
      <w:pPr>
        <w:numPr>
          <w:ilvl w:val="1"/>
          <w:numId w:val="4"/>
        </w:numPr>
        <w:ind w:right="9" w:hanging="302"/>
      </w:pPr>
      <w:r>
        <w:rPr>
          <w:noProof/>
        </w:rPr>
        <w:drawing>
          <wp:anchor distT="0" distB="0" distL="114300" distR="114300" simplePos="0" relativeHeight="251663360" behindDoc="0" locked="0" layoutInCell="1" allowOverlap="0">
            <wp:simplePos x="0" y="0"/>
            <wp:positionH relativeFrom="page">
              <wp:posOffset>7608309</wp:posOffset>
            </wp:positionH>
            <wp:positionV relativeFrom="page">
              <wp:posOffset>6631409</wp:posOffset>
            </wp:positionV>
            <wp:extent cx="6097" cy="6098"/>
            <wp:effectExtent l="0" t="0" r="0" b="0"/>
            <wp:wrapSquare wrapText="bothSides"/>
            <wp:docPr id="6174" name="Picture 6174"/>
            <wp:cNvGraphicFramePr/>
            <a:graphic xmlns:a="http://schemas.openxmlformats.org/drawingml/2006/main">
              <a:graphicData uri="http://schemas.openxmlformats.org/drawingml/2006/picture">
                <pic:pic xmlns:pic="http://schemas.openxmlformats.org/drawingml/2006/picture">
                  <pic:nvPicPr>
                    <pic:cNvPr id="6174" name="Picture 6174"/>
                    <pic:cNvPicPr/>
                  </pic:nvPicPr>
                  <pic:blipFill>
                    <a:blip r:embed="rId9"/>
                    <a:stretch>
                      <a:fillRect/>
                    </a:stretch>
                  </pic:blipFill>
                  <pic:spPr>
                    <a:xfrm>
                      <a:off x="0" y="0"/>
                      <a:ext cx="6097" cy="6098"/>
                    </a:xfrm>
                    <a:prstGeom prst="rect">
                      <a:avLst/>
                    </a:prstGeom>
                  </pic:spPr>
                </pic:pic>
              </a:graphicData>
            </a:graphic>
          </wp:anchor>
        </w:drawing>
      </w:r>
      <w:r>
        <w:rPr>
          <w:noProof/>
        </w:rPr>
        <w:drawing>
          <wp:anchor distT="0" distB="0" distL="114300" distR="114300" simplePos="0" relativeHeight="251664384" behindDoc="0" locked="0" layoutInCell="1" allowOverlap="0">
            <wp:simplePos x="0" y="0"/>
            <wp:positionH relativeFrom="page">
              <wp:posOffset>7608309</wp:posOffset>
            </wp:positionH>
            <wp:positionV relativeFrom="page">
              <wp:posOffset>6030772</wp:posOffset>
            </wp:positionV>
            <wp:extent cx="6097" cy="368920"/>
            <wp:effectExtent l="0" t="0" r="0" b="0"/>
            <wp:wrapSquare wrapText="bothSides"/>
            <wp:docPr id="20782" name="Picture 20782"/>
            <wp:cNvGraphicFramePr/>
            <a:graphic xmlns:a="http://schemas.openxmlformats.org/drawingml/2006/main">
              <a:graphicData uri="http://schemas.openxmlformats.org/drawingml/2006/picture">
                <pic:pic xmlns:pic="http://schemas.openxmlformats.org/drawingml/2006/picture">
                  <pic:nvPicPr>
                    <pic:cNvPr id="20782" name="Picture 20782"/>
                    <pic:cNvPicPr/>
                  </pic:nvPicPr>
                  <pic:blipFill>
                    <a:blip r:embed="rId10"/>
                    <a:stretch>
                      <a:fillRect/>
                    </a:stretch>
                  </pic:blipFill>
                  <pic:spPr>
                    <a:xfrm>
                      <a:off x="0" y="0"/>
                      <a:ext cx="6097" cy="368920"/>
                    </a:xfrm>
                    <a:prstGeom prst="rect">
                      <a:avLst/>
                    </a:prstGeom>
                  </pic:spPr>
                </pic:pic>
              </a:graphicData>
            </a:graphic>
          </wp:anchor>
        </w:drawing>
      </w:r>
      <w:r>
        <w:t>Have adequate financial resources to perform the contract, or th</w:t>
      </w:r>
      <w:r>
        <w:t>e ability to obtain them;</w:t>
      </w:r>
    </w:p>
    <w:p w:rsidR="00D06E55" w:rsidRDefault="00A44BD3">
      <w:pPr>
        <w:numPr>
          <w:ilvl w:val="1"/>
          <w:numId w:val="4"/>
        </w:numPr>
        <w:ind w:right="9" w:hanging="302"/>
      </w:pPr>
      <w:r>
        <w:t>Have a satisfactory performance record;</w:t>
      </w:r>
    </w:p>
    <w:p w:rsidR="00D06E55" w:rsidRDefault="00A44BD3">
      <w:pPr>
        <w:numPr>
          <w:ilvl w:val="1"/>
          <w:numId w:val="4"/>
        </w:numPr>
        <w:ind w:right="9" w:hanging="302"/>
      </w:pPr>
      <w:r>
        <w:t>Have a satisfactory record of integrity and business ethics;</w:t>
      </w:r>
    </w:p>
    <w:p w:rsidR="00D06E55" w:rsidRDefault="00A44BD3">
      <w:pPr>
        <w:numPr>
          <w:ilvl w:val="1"/>
          <w:numId w:val="4"/>
        </w:numPr>
        <w:ind w:right="9" w:hanging="302"/>
      </w:pPr>
      <w:r>
        <w:t>Have a satisfactory record of compliance with public policy</w:t>
      </w:r>
    </w:p>
    <w:p w:rsidR="00D06E55" w:rsidRDefault="00A44BD3">
      <w:pPr>
        <w:ind w:left="538" w:right="9"/>
      </w:pPr>
      <w:r>
        <w:rPr>
          <w:noProof/>
        </w:rPr>
        <w:drawing>
          <wp:anchor distT="0" distB="0" distL="114300" distR="114300" simplePos="0" relativeHeight="251665408" behindDoc="0" locked="0" layoutInCell="1" allowOverlap="0">
            <wp:simplePos x="0" y="0"/>
            <wp:positionH relativeFrom="margin">
              <wp:posOffset>4182132</wp:posOffset>
            </wp:positionH>
            <wp:positionV relativeFrom="paragraph">
              <wp:posOffset>21958</wp:posOffset>
            </wp:positionV>
            <wp:extent cx="12193" cy="6098"/>
            <wp:effectExtent l="0" t="0" r="0" b="0"/>
            <wp:wrapSquare wrapText="bothSides"/>
            <wp:docPr id="6151" name="Picture 6151"/>
            <wp:cNvGraphicFramePr/>
            <a:graphic xmlns:a="http://schemas.openxmlformats.org/drawingml/2006/main">
              <a:graphicData uri="http://schemas.openxmlformats.org/drawingml/2006/picture">
                <pic:pic xmlns:pic="http://schemas.openxmlformats.org/drawingml/2006/picture">
                  <pic:nvPicPr>
                    <pic:cNvPr id="6151" name="Picture 6151"/>
                    <pic:cNvPicPr/>
                  </pic:nvPicPr>
                  <pic:blipFill>
                    <a:blip r:embed="rId11"/>
                    <a:stretch>
                      <a:fillRect/>
                    </a:stretch>
                  </pic:blipFill>
                  <pic:spPr>
                    <a:xfrm>
                      <a:off x="0" y="0"/>
                      <a:ext cx="12193" cy="6098"/>
                    </a:xfrm>
                    <a:prstGeom prst="rect">
                      <a:avLst/>
                    </a:prstGeom>
                  </pic:spPr>
                </pic:pic>
              </a:graphicData>
            </a:graphic>
          </wp:anchor>
        </w:drawing>
      </w:r>
      <w:r>
        <w:t>(e.g., Equal Employment Opportunity); and</w:t>
      </w:r>
    </w:p>
    <w:p w:rsidR="00D06E55" w:rsidRDefault="00A44BD3">
      <w:pPr>
        <w:numPr>
          <w:ilvl w:val="1"/>
          <w:numId w:val="4"/>
        </w:numPr>
        <w:ind w:right="9" w:hanging="302"/>
      </w:pPr>
      <w:r>
        <w:t>Not have been suspended, d</w:t>
      </w:r>
      <w:r>
        <w:t xml:space="preserve">ebarred, or otherwise determined to be ineligible for award of contracts by the Department of Housing and Urban Development or any other agency of the U.S. Government. Current lists of ineligible </w:t>
      </w:r>
      <w:proofErr w:type="spellStart"/>
      <w:r>
        <w:t>contrætors</w:t>
      </w:r>
      <w:proofErr w:type="spellEnd"/>
      <w:r>
        <w:t xml:space="preserve"> are available for inspection at the HAHUD.</w:t>
      </w:r>
    </w:p>
    <w:p w:rsidR="00D06E55" w:rsidRDefault="00A44BD3">
      <w:pPr>
        <w:numPr>
          <w:ilvl w:val="0"/>
          <w:numId w:val="4"/>
        </w:numPr>
        <w:spacing w:after="243"/>
        <w:ind w:right="65"/>
      </w:pPr>
      <w:r>
        <w:t>Before an offer is considered for award, the offeror may be requested by the HA to submit a statement or other documentation regarding any of the foregoing requirements. Failure by the offeror to provide such additional information may render the offeror i</w:t>
      </w:r>
      <w:r>
        <w:t>neligible for award.</w:t>
      </w:r>
    </w:p>
    <w:p w:rsidR="00D06E55" w:rsidRDefault="00A44BD3">
      <w:pPr>
        <w:spacing w:after="4" w:line="259" w:lineRule="auto"/>
        <w:ind w:left="-1"/>
      </w:pPr>
      <w:r>
        <w:rPr>
          <w:sz w:val="22"/>
        </w:rPr>
        <w:t>6. Late Submissions, Modifications, and Withdrawal of Offers</w:t>
      </w:r>
    </w:p>
    <w:p w:rsidR="00D06E55" w:rsidRDefault="00A44BD3">
      <w:pPr>
        <w:numPr>
          <w:ilvl w:val="0"/>
          <w:numId w:val="5"/>
        </w:numPr>
        <w:spacing w:after="0" w:line="221" w:lineRule="auto"/>
        <w:ind w:right="9"/>
      </w:pPr>
      <w:r>
        <w:t>Any offer received at the place designated in the solicitation after the exact time specified for receipt will not be considered unless it is received before award is made an</w:t>
      </w:r>
      <w:r>
        <w:t>d it -</w:t>
      </w:r>
    </w:p>
    <w:p w:rsidR="00D06E55" w:rsidRDefault="00A44BD3">
      <w:pPr>
        <w:numPr>
          <w:ilvl w:val="1"/>
          <w:numId w:val="5"/>
        </w:numPr>
        <w:spacing w:after="0"/>
        <w:ind w:right="89" w:hanging="302"/>
      </w:pPr>
      <w:r>
        <w:t>Was sent by registered or certified mail not later than the fifth calendar day before the date specified for receipt of offers (e.g., an offer submitted in response to a solicitation requiring receipt of offers by the 20th of the month must have bee</w:t>
      </w:r>
      <w:r>
        <w:t>n mailed by the 15th);</w:t>
      </w:r>
    </w:p>
    <w:p w:rsidR="00D06E55" w:rsidRDefault="00A44BD3">
      <w:pPr>
        <w:numPr>
          <w:ilvl w:val="1"/>
          <w:numId w:val="5"/>
        </w:numPr>
        <w:spacing w:after="0"/>
        <w:ind w:right="89" w:hanging="302"/>
      </w:pPr>
      <w:r>
        <w:t xml:space="preserve">Was sent by mail, or if authorized by the solicitation, was sent by telegram or via facsimile, and it is determined by the HN HUD that the late receipt was due solely to mishandling by the </w:t>
      </w:r>
      <w:proofErr w:type="gramStart"/>
      <w:r>
        <w:t>HA./</w:t>
      </w:r>
      <w:proofErr w:type="gramEnd"/>
      <w:r>
        <w:t>HUD after receipt at the HA;</w:t>
      </w:r>
    </w:p>
    <w:p w:rsidR="00D06E55" w:rsidRDefault="00A44BD3">
      <w:pPr>
        <w:numPr>
          <w:ilvl w:val="1"/>
          <w:numId w:val="5"/>
        </w:numPr>
        <w:spacing w:after="0"/>
        <w:ind w:right="89" w:hanging="302"/>
      </w:pPr>
      <w:r>
        <w:t>Was sent by</w:t>
      </w:r>
      <w:r>
        <w:t xml:space="preserve"> U.S. Postal Service Express Mail Next Day Service - Post Office to Addressee, not later than 5:00 p.m. at the place of mailing two working days prior to the date specified for receipt of proposals. The term 'Working days" excludes weekends and U.S. Federa</w:t>
      </w:r>
      <w:r>
        <w:t>l holidays; or</w:t>
      </w:r>
    </w:p>
    <w:p w:rsidR="00D06E55" w:rsidRDefault="00A44BD3">
      <w:pPr>
        <w:numPr>
          <w:ilvl w:val="1"/>
          <w:numId w:val="5"/>
        </w:numPr>
        <w:ind w:right="89" w:hanging="302"/>
      </w:pPr>
      <w:r>
        <w:t xml:space="preserve">Is the only offer </w:t>
      </w:r>
      <w:proofErr w:type="gramStart"/>
      <w:r>
        <w:t>received.</w:t>
      </w:r>
      <w:proofErr w:type="gramEnd"/>
    </w:p>
    <w:p w:rsidR="00D06E55" w:rsidRDefault="00A44BD3">
      <w:pPr>
        <w:numPr>
          <w:ilvl w:val="0"/>
          <w:numId w:val="5"/>
        </w:numPr>
        <w:ind w:right="9"/>
      </w:pPr>
      <w:r>
        <w:t>Any modification of an offer, except a modification resulting from the HA's request for 'best and final" offer (if this solicitation is a request for proposals), is subject to the same conditions as in subparagrap</w:t>
      </w:r>
      <w:r>
        <w:t>hs (a)(l), (2), and (3) of this provision.</w:t>
      </w:r>
    </w:p>
    <w:p w:rsidR="00D06E55" w:rsidRDefault="00A44BD3">
      <w:pPr>
        <w:numPr>
          <w:ilvl w:val="0"/>
          <w:numId w:val="5"/>
        </w:numPr>
        <w:spacing w:after="5" w:line="235" w:lineRule="auto"/>
        <w:ind w:right="9"/>
      </w:pPr>
      <w:r>
        <w:t>A modification resulting from the HA's request for "best and final" offer received after the time and date specified in the request will not</w:t>
      </w:r>
    </w:p>
    <w:p w:rsidR="00D06E55" w:rsidRDefault="00A44BD3">
      <w:pPr>
        <w:spacing w:after="66"/>
        <w:ind w:left="4" w:right="9"/>
      </w:pPr>
      <w:r>
        <w:t>be considered unless received before award and the late receipt is due s</w:t>
      </w:r>
      <w:r>
        <w:t>olely to mishandling by the HA after receipt at the HA.</w:t>
      </w:r>
    </w:p>
    <w:p w:rsidR="00D06E55" w:rsidRDefault="00A44BD3">
      <w:pPr>
        <w:numPr>
          <w:ilvl w:val="0"/>
          <w:numId w:val="5"/>
        </w:numPr>
        <w:spacing w:after="77"/>
        <w:ind w:right="9"/>
      </w:pPr>
      <w:r>
        <w:t xml:space="preserve">The only acceptable evidence to establish the date of mailing of a late offer, modification, or withdrawal sent either by registered or </w:t>
      </w:r>
      <w:proofErr w:type="spellStart"/>
      <w:r>
        <w:t>cenified</w:t>
      </w:r>
      <w:proofErr w:type="spellEnd"/>
      <w:r>
        <w:t xml:space="preserve"> mail is the U.S. or Canadian Postal Service postmark both </w:t>
      </w:r>
      <w:r>
        <w:lastRenderedPageBreak/>
        <w:t>on the envelope or wrapper and on the original receip</w:t>
      </w:r>
      <w:r>
        <w:t xml:space="preserve">t from the U.S. or Canadian Postal Service. Both postmarks must show a legible </w:t>
      </w:r>
      <w:proofErr w:type="gramStart"/>
      <w:r>
        <w:t>date</w:t>
      </w:r>
      <w:proofErr w:type="gramEnd"/>
      <w:r>
        <w:t xml:space="preserve"> or the offer, modification, or withdrawal shall be processed as if mailed late. "Postmark" means a printed, stamped, or otherwise placed impression (exclusive of a postage </w:t>
      </w:r>
      <w:r>
        <w:t xml:space="preserve">meter machine impression) that is readily </w:t>
      </w:r>
      <w:proofErr w:type="spellStart"/>
      <w:r>
        <w:t>dentifiable</w:t>
      </w:r>
      <w:proofErr w:type="spellEnd"/>
      <w:r>
        <w:t xml:space="preserve"> without further action as having been supplied and affixed by employees of the U.S. or Canadian Postal </w:t>
      </w:r>
      <w:r>
        <w:t>Service on the date of mailing. Therefore, offerors should request the postal clerk to place a hand</w:t>
      </w:r>
      <w:r>
        <w:t xml:space="preserve"> cancellation bull's-eye postmark on both the receipt and the envelope </w:t>
      </w:r>
      <w:proofErr w:type="spellStart"/>
      <w:r>
        <w:t>ot</w:t>
      </w:r>
      <w:proofErr w:type="spellEnd"/>
      <w:r>
        <w:t xml:space="preserve"> wrapper.</w:t>
      </w:r>
    </w:p>
    <w:p w:rsidR="00D06E55" w:rsidRDefault="00A44BD3">
      <w:pPr>
        <w:numPr>
          <w:ilvl w:val="0"/>
          <w:numId w:val="5"/>
        </w:numPr>
        <w:ind w:right="9"/>
      </w:pPr>
      <w:r>
        <w:t xml:space="preserve">The only acceptable evidence to establish the time of receipt </w:t>
      </w:r>
      <w:proofErr w:type="spellStart"/>
      <w:r>
        <w:t>atthe</w:t>
      </w:r>
      <w:proofErr w:type="spellEnd"/>
      <w:r>
        <w:t xml:space="preserve"> HA is the time/date stamp of HA on the offer wrapper or other documentary evidence of receipt maintained </w:t>
      </w:r>
      <w:r>
        <w:t>by the HA.</w:t>
      </w:r>
    </w:p>
    <w:p w:rsidR="00D06E55" w:rsidRDefault="00D06E55">
      <w:pPr>
        <w:sectPr w:rsidR="00D06E55">
          <w:type w:val="continuous"/>
          <w:pgSz w:w="12140" w:h="15840"/>
          <w:pgMar w:top="1440" w:right="264" w:bottom="1440" w:left="240" w:header="720" w:footer="720" w:gutter="0"/>
          <w:cols w:num="2" w:space="418"/>
        </w:sectPr>
      </w:pPr>
    </w:p>
    <w:p w:rsidR="00D06E55" w:rsidRDefault="00A44BD3">
      <w:pPr>
        <w:spacing w:after="61" w:line="259" w:lineRule="auto"/>
        <w:ind w:left="-5" w:right="-15" w:hanging="10"/>
        <w:jc w:val="left"/>
      </w:pPr>
      <w:r>
        <w:rPr>
          <w:sz w:val="18"/>
        </w:rPr>
        <w:t>Previous edition is obsolete</w:t>
      </w:r>
    </w:p>
    <w:p w:rsidR="00D06E55" w:rsidRDefault="00D06E55">
      <w:pPr>
        <w:sectPr w:rsidR="00D06E55">
          <w:type w:val="continuous"/>
          <w:pgSz w:w="12140" w:h="15840"/>
          <w:pgMar w:top="598" w:right="9845" w:bottom="378" w:left="346" w:header="720" w:footer="720" w:gutter="0"/>
          <w:cols w:space="720"/>
        </w:sectPr>
      </w:pPr>
    </w:p>
    <w:p w:rsidR="00D06E55" w:rsidRDefault="00A44BD3">
      <w:pPr>
        <w:spacing w:after="0" w:line="220" w:lineRule="auto"/>
        <w:ind w:left="0" w:firstLine="0"/>
        <w:jc w:val="right"/>
      </w:pPr>
      <w:r>
        <w:rPr>
          <w:sz w:val="18"/>
        </w:rPr>
        <w:t>form HUD-5369-B (8/93) page 1 of 2</w:t>
      </w:r>
      <w:r>
        <w:rPr>
          <w:sz w:val="18"/>
        </w:rPr>
        <w:tab/>
        <w:t>ref. Handbook 7460.8</w:t>
      </w:r>
    </w:p>
    <w:p w:rsidR="00D06E55" w:rsidRDefault="00D06E55">
      <w:pPr>
        <w:sectPr w:rsidR="00D06E55">
          <w:type w:val="continuous"/>
          <w:pgSz w:w="12140" w:h="15840"/>
          <w:pgMar w:top="598" w:right="259" w:bottom="378" w:left="5616" w:header="720" w:footer="720" w:gutter="0"/>
          <w:cols w:space="720"/>
        </w:sectPr>
      </w:pPr>
    </w:p>
    <w:p w:rsidR="00D06E55" w:rsidRDefault="00A44BD3">
      <w:pPr>
        <w:numPr>
          <w:ilvl w:val="0"/>
          <w:numId w:val="5"/>
        </w:numPr>
        <w:spacing w:after="88"/>
        <w:ind w:right="9"/>
      </w:pPr>
      <w:r>
        <w:t xml:space="preserve">The only acceptable evidence to establish the date of mailing of a late offer, modification, or withdrawal sent by Express Mail Next Day </w:t>
      </w:r>
      <w:proofErr w:type="spellStart"/>
      <w:r>
        <w:t>Servbe</w:t>
      </w:r>
      <w:proofErr w:type="spellEnd"/>
      <w:r>
        <w:t>-Post Office to Addressee is the date entered by the post office receiving clerk on the "Express Mail Next Day Se</w:t>
      </w:r>
      <w:r>
        <w:t>rvice-Post Office to Addressee" label and the postmark on both the envelope or wrapper and on the original receipt from the U.S. Postal Service. "Postmark" has the same meaning as defined in paragraph (c) of this provision, excluding postmarks of the Canad</w:t>
      </w:r>
      <w:r>
        <w:t>ian Postal Service. Therefore, offerors should request the postal clerk to place a legible hand cancellation bull's eye postmark on both the receipt and the envelope or wrapper.</w:t>
      </w:r>
    </w:p>
    <w:p w:rsidR="00D06E55" w:rsidRDefault="00A44BD3">
      <w:pPr>
        <w:numPr>
          <w:ilvl w:val="0"/>
          <w:numId w:val="5"/>
        </w:numPr>
        <w:spacing w:after="144"/>
        <w:ind w:right="9"/>
      </w:pPr>
      <w:r>
        <w:t xml:space="preserve">Notwithstanding paragraph (a) of this </w:t>
      </w:r>
      <w:r>
        <w:rPr>
          <w:noProof/>
        </w:rPr>
        <w:drawing>
          <wp:inline distT="0" distB="0" distL="0" distR="0">
            <wp:extent cx="484664" cy="115859"/>
            <wp:effectExtent l="0" t="0" r="0" b="0"/>
            <wp:docPr id="11555" name="Picture 11555"/>
            <wp:cNvGraphicFramePr/>
            <a:graphic xmlns:a="http://schemas.openxmlformats.org/drawingml/2006/main">
              <a:graphicData uri="http://schemas.openxmlformats.org/drawingml/2006/picture">
                <pic:pic xmlns:pic="http://schemas.openxmlformats.org/drawingml/2006/picture">
                  <pic:nvPicPr>
                    <pic:cNvPr id="11555" name="Picture 11555"/>
                    <pic:cNvPicPr/>
                  </pic:nvPicPr>
                  <pic:blipFill>
                    <a:blip r:embed="rId12"/>
                    <a:stretch>
                      <a:fillRect/>
                    </a:stretch>
                  </pic:blipFill>
                  <pic:spPr>
                    <a:xfrm>
                      <a:off x="0" y="0"/>
                      <a:ext cx="484664" cy="115859"/>
                    </a:xfrm>
                    <a:prstGeom prst="rect">
                      <a:avLst/>
                    </a:prstGeom>
                  </pic:spPr>
                </pic:pic>
              </a:graphicData>
            </a:graphic>
          </wp:inline>
        </w:drawing>
      </w:r>
      <w:r>
        <w:t>a late modification of an otherwise suc</w:t>
      </w:r>
      <w:r>
        <w:t xml:space="preserve">cessful offer that makes its terms more favorable to the HA will be considered at any time it is received and may be </w:t>
      </w:r>
      <w:r>
        <w:t>accepted.</w:t>
      </w:r>
    </w:p>
    <w:p w:rsidR="00D06E55" w:rsidRDefault="00A44BD3">
      <w:pPr>
        <w:numPr>
          <w:ilvl w:val="0"/>
          <w:numId w:val="5"/>
        </w:numPr>
        <w:spacing w:after="214"/>
        <w:ind w:right="9"/>
      </w:pPr>
      <w:r>
        <w:t>If this solicitation is a request for proposals, proposals may be withdrawn by written notice, or if authorized by this solicitat</w:t>
      </w:r>
      <w:r>
        <w:t xml:space="preserve">ion, by telegram (including mailgram) or facsimile machine transmission received at any time before award. Proposals may be withdrawn in person by </w:t>
      </w:r>
      <w:proofErr w:type="gramStart"/>
      <w:r>
        <w:t>a</w:t>
      </w:r>
      <w:proofErr w:type="gramEnd"/>
      <w:r>
        <w:t xml:space="preserve"> offeror or its authorized representative if the identity of the person requesting withdrawal is established</w:t>
      </w:r>
      <w:r>
        <w:t xml:space="preserve"> and the person signs a receipt for the offer before award. If this solicitation is an invitation for bids, bids may be withdrawn at any time prior to bid opening.</w:t>
      </w:r>
    </w:p>
    <w:p w:rsidR="00D06E55" w:rsidRDefault="00A44BD3">
      <w:pPr>
        <w:spacing w:after="4" w:line="259" w:lineRule="auto"/>
        <w:ind w:left="-1"/>
      </w:pPr>
      <w:r>
        <w:rPr>
          <w:sz w:val="22"/>
        </w:rPr>
        <w:t>7. Contract Award</w:t>
      </w:r>
    </w:p>
    <w:p w:rsidR="00D06E55" w:rsidRDefault="00A44BD3">
      <w:pPr>
        <w:numPr>
          <w:ilvl w:val="0"/>
          <w:numId w:val="6"/>
        </w:numPr>
        <w:spacing w:after="74"/>
        <w:ind w:right="9"/>
      </w:pPr>
      <w:r>
        <w:t>The HA will award a contract resulting from this solicitation to the respo</w:t>
      </w:r>
      <w:r>
        <w:t xml:space="preserve">nsible offeror whose offer conforming to the solicitation will be most advantageous to the HA, cost or price and </w:t>
      </w:r>
      <w:proofErr w:type="spellStart"/>
      <w:r>
        <w:t>otherfactors</w:t>
      </w:r>
      <w:proofErr w:type="spellEnd"/>
      <w:r>
        <w:t>, specified elsewhere in this solicitation, considered.</w:t>
      </w:r>
    </w:p>
    <w:p w:rsidR="00D06E55" w:rsidRDefault="00A44BD3">
      <w:pPr>
        <w:numPr>
          <w:ilvl w:val="0"/>
          <w:numId w:val="6"/>
        </w:numPr>
        <w:spacing w:after="4" w:line="259" w:lineRule="auto"/>
        <w:ind w:right="9"/>
      </w:pPr>
      <w:r>
        <w:rPr>
          <w:sz w:val="22"/>
        </w:rPr>
        <w:t>The HA may</w:t>
      </w:r>
    </w:p>
    <w:p w:rsidR="00D06E55" w:rsidRDefault="00A44BD3">
      <w:pPr>
        <w:numPr>
          <w:ilvl w:val="1"/>
          <w:numId w:val="6"/>
        </w:numPr>
        <w:spacing w:after="5" w:line="235" w:lineRule="auto"/>
        <w:ind w:right="9" w:hanging="302"/>
      </w:pPr>
      <w:r>
        <w:t xml:space="preserve">reject any or </w:t>
      </w:r>
      <w:proofErr w:type="spellStart"/>
      <w:r>
        <w:t>ati</w:t>
      </w:r>
      <w:proofErr w:type="spellEnd"/>
      <w:r>
        <w:t xml:space="preserve"> offers if such </w:t>
      </w:r>
      <w:r>
        <w:tab/>
        <w:t>is in the HA's interest,</w:t>
      </w:r>
    </w:p>
    <w:p w:rsidR="00D06E55" w:rsidRDefault="00A44BD3">
      <w:pPr>
        <w:numPr>
          <w:ilvl w:val="1"/>
          <w:numId w:val="6"/>
        </w:numPr>
        <w:ind w:right="9" w:hanging="302"/>
      </w:pPr>
      <w:r>
        <w:t>accep</w:t>
      </w:r>
      <w:r>
        <w:t>t other than the lowest offer,</w:t>
      </w:r>
    </w:p>
    <w:p w:rsidR="00D06E55" w:rsidRDefault="00A44BD3">
      <w:pPr>
        <w:numPr>
          <w:ilvl w:val="1"/>
          <w:numId w:val="6"/>
        </w:numPr>
        <w:spacing w:after="92"/>
        <w:ind w:right="9" w:hanging="302"/>
      </w:pPr>
      <w:r>
        <w:t>waive informalities and minor irregularities in offers received, and (4) award more than one for all or part of the requirements stated.</w:t>
      </w:r>
    </w:p>
    <w:p w:rsidR="00D06E55" w:rsidRDefault="00A44BD3">
      <w:pPr>
        <w:numPr>
          <w:ilvl w:val="0"/>
          <w:numId w:val="6"/>
        </w:numPr>
        <w:ind w:right="9"/>
      </w:pPr>
      <w:r>
        <w:rPr>
          <w:noProof/>
          <w:sz w:val="22"/>
        </w:rPr>
        <mc:AlternateContent>
          <mc:Choice Requires="wpg">
            <w:drawing>
              <wp:anchor distT="0" distB="0" distL="114300" distR="114300" simplePos="0" relativeHeight="251666432" behindDoc="0" locked="0" layoutInCell="1" allowOverlap="1">
                <wp:simplePos x="0" y="0"/>
                <wp:positionH relativeFrom="page">
                  <wp:posOffset>243856</wp:posOffset>
                </wp:positionH>
                <wp:positionV relativeFrom="page">
                  <wp:posOffset>310990</wp:posOffset>
                </wp:positionV>
                <wp:extent cx="7263862" cy="12196"/>
                <wp:effectExtent l="0" t="0" r="0" b="0"/>
                <wp:wrapTopAndBottom/>
                <wp:docPr id="20790" name="Group 20790"/>
                <wp:cNvGraphicFramePr/>
                <a:graphic xmlns:a="http://schemas.openxmlformats.org/drawingml/2006/main">
                  <a:graphicData uri="http://schemas.microsoft.com/office/word/2010/wordprocessingGroup">
                    <wpg:wgp>
                      <wpg:cNvGrpSpPr/>
                      <wpg:grpSpPr>
                        <a:xfrm>
                          <a:off x="0" y="0"/>
                          <a:ext cx="7263862" cy="12196"/>
                          <a:chOff x="0" y="0"/>
                          <a:chExt cx="7263862" cy="12196"/>
                        </a:xfrm>
                      </wpg:grpSpPr>
                      <wps:wsp>
                        <wps:cNvPr id="20789" name="Shape 20789"/>
                        <wps:cNvSpPr/>
                        <wps:spPr>
                          <a:xfrm>
                            <a:off x="0" y="0"/>
                            <a:ext cx="7263862" cy="12196"/>
                          </a:xfrm>
                          <a:custGeom>
                            <a:avLst/>
                            <a:gdLst/>
                            <a:ahLst/>
                            <a:cxnLst/>
                            <a:rect l="0" t="0" r="0" b="0"/>
                            <a:pathLst>
                              <a:path w="7263862" h="12196">
                                <a:moveTo>
                                  <a:pt x="0" y="6098"/>
                                </a:moveTo>
                                <a:lnTo>
                                  <a:pt x="7263862" y="6098"/>
                                </a:lnTo>
                              </a:path>
                            </a:pathLst>
                          </a:custGeom>
                          <a:ln w="12196" cap="flat">
                            <a:miter lim="100000"/>
                          </a:ln>
                        </wps:spPr>
                        <wps:style>
                          <a:lnRef idx="1">
                            <a:srgbClr val="000000"/>
                          </a:lnRef>
                          <a:fillRef idx="0">
                            <a:srgbClr val="000000"/>
                          </a:fillRef>
                          <a:effectRef idx="0">
                            <a:scrgbClr r="0" g="0" b="0"/>
                          </a:effectRef>
                          <a:fontRef idx="none"/>
                        </wps:style>
                        <wps:bodyPr/>
                      </wps:wsp>
                    </wpg:wgp>
                  </a:graphicData>
                </a:graphic>
              </wp:anchor>
            </w:drawing>
          </mc:Choice>
          <mc:Fallback xmlns:a="http://schemas.openxmlformats.org/drawingml/2006/main">
            <w:pict>
              <v:group id="Group 20790" style="width:571.958pt;height:0.960291pt;position:absolute;mso-position-horizontal-relative:page;mso-position-horizontal:absolute;margin-left:19.2013pt;mso-position-vertical-relative:page;margin-top:24.4874pt;" coordsize="72638,121">
                <v:shape id="Shape 20789" style="position:absolute;width:72638;height:121;left:0;top:0;" coordsize="7263862,12196" path="m0,6098l7263862,6098">
                  <v:stroke weight="0.960291pt" endcap="flat" joinstyle="miter" miterlimit="1" on="true" color="#000000"/>
                  <v:fill on="false" color="#000000"/>
                </v:shape>
                <w10:wrap type="topAndBottom"/>
              </v:group>
            </w:pict>
          </mc:Fallback>
        </mc:AlternateContent>
      </w:r>
      <w:r>
        <w:t xml:space="preserve">If this solicitation is a request for proposals, the HA may award a contract on the basis of initial offers received, without </w:t>
      </w:r>
      <w:r>
        <w:t xml:space="preserve">discussions. Therefore, each initial offer </w:t>
      </w:r>
      <w:proofErr w:type="spellStart"/>
      <w:r>
        <w:t>shouldcontain</w:t>
      </w:r>
      <w:proofErr w:type="spellEnd"/>
      <w:r>
        <w:t xml:space="preserve"> the offeror's </w:t>
      </w:r>
      <w:proofErr w:type="spellStart"/>
      <w:r>
        <w:t>bestterms</w:t>
      </w:r>
      <w:proofErr w:type="spellEnd"/>
      <w:r>
        <w:t xml:space="preserve"> from a cost or price and technical standpoint.</w:t>
      </w:r>
    </w:p>
    <w:p w:rsidR="00D06E55" w:rsidRDefault="00A44BD3">
      <w:pPr>
        <w:numPr>
          <w:ilvl w:val="0"/>
          <w:numId w:val="6"/>
        </w:numPr>
        <w:spacing w:after="84"/>
        <w:ind w:right="9"/>
      </w:pPr>
      <w:r>
        <w:t xml:space="preserve">A </w:t>
      </w:r>
      <w:r>
        <w:t xml:space="preserve">written award or acceptance of offer mailed or otherwise </w:t>
      </w:r>
      <w:proofErr w:type="spellStart"/>
      <w:r>
        <w:t>fumished</w:t>
      </w:r>
      <w:proofErr w:type="spellEnd"/>
      <w:r>
        <w:t xml:space="preserve"> to the successful offeror within the time for acceptance specified in the offer shall result in a binding contract without further action by either party. If this solicitation is a request f</w:t>
      </w:r>
      <w:r>
        <w:t xml:space="preserve">or proposals, before the offer's specified expiration time, the HA may accept an offer, whether or not there are negotiations after its receipt, unless a written notice of withdrawal is received before award. Negotiations </w:t>
      </w:r>
      <w:r>
        <w:rPr>
          <w:noProof/>
        </w:rPr>
        <w:drawing>
          <wp:inline distT="0" distB="0" distL="0" distR="0">
            <wp:extent cx="393218" cy="94517"/>
            <wp:effectExtent l="0" t="0" r="0" b="0"/>
            <wp:docPr id="20787" name="Picture 20787"/>
            <wp:cNvGraphicFramePr/>
            <a:graphic xmlns:a="http://schemas.openxmlformats.org/drawingml/2006/main">
              <a:graphicData uri="http://schemas.openxmlformats.org/drawingml/2006/picture">
                <pic:pic xmlns:pic="http://schemas.openxmlformats.org/drawingml/2006/picture">
                  <pic:nvPicPr>
                    <pic:cNvPr id="20787" name="Picture 20787"/>
                    <pic:cNvPicPr/>
                  </pic:nvPicPr>
                  <pic:blipFill>
                    <a:blip r:embed="rId13"/>
                    <a:stretch>
                      <a:fillRect/>
                    </a:stretch>
                  </pic:blipFill>
                  <pic:spPr>
                    <a:xfrm>
                      <a:off x="0" y="0"/>
                      <a:ext cx="393218" cy="94517"/>
                    </a:xfrm>
                    <a:prstGeom prst="rect">
                      <a:avLst/>
                    </a:prstGeom>
                  </pic:spPr>
                </pic:pic>
              </a:graphicData>
            </a:graphic>
          </wp:inline>
        </w:drawing>
      </w:r>
      <w:r>
        <w:t xml:space="preserve">after receipt of an offer do not </w:t>
      </w:r>
      <w:r>
        <w:t>constitute a rejection or counteroffer by the HA.</w:t>
      </w:r>
    </w:p>
    <w:p w:rsidR="00D06E55" w:rsidRDefault="00A44BD3">
      <w:pPr>
        <w:numPr>
          <w:ilvl w:val="0"/>
          <w:numId w:val="6"/>
        </w:numPr>
        <w:spacing w:after="233"/>
        <w:ind w:right="9"/>
      </w:pPr>
      <w:r>
        <w:t>Neither financial data submitted with an offer, nor representations concerning facilities or financing, will form a part of the resulting contract.</w:t>
      </w:r>
    </w:p>
    <w:p w:rsidR="00D06E55" w:rsidRDefault="00A44BD3">
      <w:pPr>
        <w:pStyle w:val="Heading1"/>
        <w:ind w:right="1608"/>
      </w:pPr>
      <w:r>
        <w:t>8. Service of Protest</w:t>
      </w:r>
    </w:p>
    <w:p w:rsidR="00D06E55" w:rsidRDefault="00A44BD3">
      <w:pPr>
        <w:spacing w:after="207"/>
        <w:ind w:left="4" w:right="9"/>
      </w:pPr>
      <w:r>
        <w:t>Any protest against the award of a c</w:t>
      </w:r>
      <w:r>
        <w:t>ontract pursuant to this solicitation shall be served on the HA by obtaining written and dated acknowledgment of from the HA at the address shown on the cover of this solicitation. The determination of the HA with regard to such protest or to proceed to aw</w:t>
      </w:r>
      <w:r>
        <w:t>ard notwithstanding such protest shall be final unless appealed by the protestor.</w:t>
      </w:r>
    </w:p>
    <w:p w:rsidR="00D06E55" w:rsidRDefault="00A44BD3">
      <w:pPr>
        <w:pStyle w:val="Heading1"/>
        <w:ind w:right="1608"/>
      </w:pPr>
      <w:r>
        <w:t>9. Offer Submission</w:t>
      </w:r>
    </w:p>
    <w:p w:rsidR="00D06E55" w:rsidRDefault="00A44BD3">
      <w:pPr>
        <w:spacing w:after="4" w:line="259" w:lineRule="auto"/>
        <w:ind w:left="-1"/>
      </w:pPr>
      <w:r>
        <w:rPr>
          <w:sz w:val="22"/>
        </w:rPr>
        <w:t xml:space="preserve">Offers shall be submitted as follows and shall be enclosed in a sealed envelope and addressed to the office specified in the solicitation. The proposal </w:t>
      </w:r>
      <w:proofErr w:type="spellStart"/>
      <w:r>
        <w:rPr>
          <w:sz w:val="22"/>
        </w:rPr>
        <w:t>Sh</w:t>
      </w:r>
      <w:r>
        <w:rPr>
          <w:sz w:val="22"/>
        </w:rPr>
        <w:t>ali</w:t>
      </w:r>
      <w:proofErr w:type="spellEnd"/>
      <w:r>
        <w:rPr>
          <w:sz w:val="22"/>
        </w:rPr>
        <w:t xml:space="preserve"> show the hour and date specified </w:t>
      </w:r>
      <w:proofErr w:type="gramStart"/>
      <w:r>
        <w:rPr>
          <w:sz w:val="22"/>
        </w:rPr>
        <w:t>In</w:t>
      </w:r>
      <w:proofErr w:type="gramEnd"/>
      <w:r>
        <w:rPr>
          <w:sz w:val="22"/>
        </w:rPr>
        <w:t xml:space="preserve"> the solicitation for receipt, the solicitation number, and the name and address of the offeror, on the face of the envelope.</w:t>
      </w:r>
    </w:p>
    <w:p w:rsidR="00D06E55" w:rsidRDefault="00A44BD3">
      <w:pPr>
        <w:ind w:left="4" w:right="9" w:firstLine="322"/>
      </w:pPr>
      <w:r>
        <w:t>It is very important that the offer be properly identified on the face of the envelope as s</w:t>
      </w:r>
      <w:r>
        <w:t xml:space="preserve">et forth above in order to </w:t>
      </w:r>
      <w:proofErr w:type="gramStart"/>
      <w:r>
        <w:t>insure</w:t>
      </w:r>
      <w:proofErr w:type="gramEnd"/>
      <w:r>
        <w:t xml:space="preserve"> that the date and time of receipt is stamped on the face of the offer envelope. Receiving procedures are: date and time stamp those envelopes identified as proposals and deliver them immediately to the appropriate contract</w:t>
      </w:r>
      <w:r>
        <w:t>ing official, and only date stamp those envelopes which do not contain identification of the contents and deliver them to the appropriate procuring activity only through the routine mail delivery procedure. [Describe bid or proposal preparation instruction</w:t>
      </w:r>
      <w:r>
        <w:t>s here:]</w:t>
      </w:r>
    </w:p>
    <w:p w:rsidR="00D06E55" w:rsidRDefault="00D06E55">
      <w:pPr>
        <w:sectPr w:rsidR="00D06E55">
          <w:type w:val="continuous"/>
          <w:pgSz w:w="12140" w:h="15840"/>
          <w:pgMar w:top="1440" w:right="302" w:bottom="1440" w:left="389" w:header="720" w:footer="720" w:gutter="0"/>
          <w:cols w:num="2" w:space="490"/>
        </w:sectPr>
      </w:pPr>
    </w:p>
    <w:p w:rsidR="00D06E55" w:rsidRDefault="00A44BD3">
      <w:pPr>
        <w:spacing w:after="121" w:line="259" w:lineRule="auto"/>
        <w:ind w:left="-14" w:right="-5" w:firstLine="0"/>
        <w:jc w:val="left"/>
      </w:pPr>
      <w:r>
        <w:rPr>
          <w:noProof/>
          <w:sz w:val="22"/>
        </w:rPr>
        <mc:AlternateContent>
          <mc:Choice Requires="wpg">
            <w:drawing>
              <wp:inline distT="0" distB="0" distL="0" distR="0">
                <wp:extent cx="7257767" cy="12195"/>
                <wp:effectExtent l="0" t="0" r="0" b="0"/>
                <wp:docPr id="20792" name="Group 20792"/>
                <wp:cNvGraphicFramePr/>
                <a:graphic xmlns:a="http://schemas.openxmlformats.org/drawingml/2006/main">
                  <a:graphicData uri="http://schemas.microsoft.com/office/word/2010/wordprocessingGroup">
                    <wpg:wgp>
                      <wpg:cNvGrpSpPr/>
                      <wpg:grpSpPr>
                        <a:xfrm>
                          <a:off x="0" y="0"/>
                          <a:ext cx="7257767" cy="12195"/>
                          <a:chOff x="0" y="0"/>
                          <a:chExt cx="7257767" cy="12195"/>
                        </a:xfrm>
                      </wpg:grpSpPr>
                      <wps:wsp>
                        <wps:cNvPr id="20791" name="Shape 20791"/>
                        <wps:cNvSpPr/>
                        <wps:spPr>
                          <a:xfrm>
                            <a:off x="0" y="0"/>
                            <a:ext cx="7257767" cy="12195"/>
                          </a:xfrm>
                          <a:custGeom>
                            <a:avLst/>
                            <a:gdLst/>
                            <a:ahLst/>
                            <a:cxnLst/>
                            <a:rect l="0" t="0" r="0" b="0"/>
                            <a:pathLst>
                              <a:path w="7257767" h="12195">
                                <a:moveTo>
                                  <a:pt x="0" y="6097"/>
                                </a:moveTo>
                                <a:lnTo>
                                  <a:pt x="7257767" y="6097"/>
                                </a:lnTo>
                              </a:path>
                            </a:pathLst>
                          </a:custGeom>
                          <a:ln w="12195"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xmlns:a="http://schemas.openxmlformats.org/drawingml/2006/main">
            <w:pict>
              <v:group id="Group 20792" style="width:571.478pt;height:0.960266pt;mso-position-horizontal-relative:char;mso-position-vertical-relative:line" coordsize="72577,121">
                <v:shape id="Shape 20791" style="position:absolute;width:72577;height:121;left:0;top:0;" coordsize="7257767,12195" path="m0,6097l7257767,6097">
                  <v:stroke weight="0.960266pt" endcap="flat" joinstyle="miter" miterlimit="1" on="true" color="#000000"/>
                  <v:fill on="false" color="#000000"/>
                </v:shape>
              </v:group>
            </w:pict>
          </mc:Fallback>
        </mc:AlternateContent>
      </w:r>
    </w:p>
    <w:p w:rsidR="00D06E55" w:rsidRDefault="00A44BD3">
      <w:pPr>
        <w:tabs>
          <w:tab w:val="center" w:pos="5619"/>
          <w:tab w:val="right" w:pos="11410"/>
        </w:tabs>
        <w:spacing w:after="61" w:line="259" w:lineRule="auto"/>
        <w:ind w:left="-15" w:right="-15" w:firstLine="0"/>
        <w:jc w:val="left"/>
      </w:pPr>
      <w:r>
        <w:rPr>
          <w:sz w:val="18"/>
        </w:rPr>
        <w:t>Previous edition is obsolete</w:t>
      </w:r>
      <w:r>
        <w:rPr>
          <w:sz w:val="18"/>
        </w:rPr>
        <w:tab/>
        <w:t>page 2 of 2</w:t>
      </w:r>
      <w:r>
        <w:rPr>
          <w:sz w:val="18"/>
        </w:rPr>
        <w:tab/>
        <w:t xml:space="preserve">form ref. HUD-5369-B Handbook </w:t>
      </w:r>
      <w:proofErr w:type="gramStart"/>
      <w:r>
        <w:rPr>
          <w:sz w:val="18"/>
        </w:rPr>
        <w:t>7460.&amp;</w:t>
      </w:r>
      <w:proofErr w:type="gramEnd"/>
      <w:r>
        <w:rPr>
          <w:sz w:val="18"/>
        </w:rPr>
        <w:t>(8/93</w:t>
      </w:r>
    </w:p>
    <w:sectPr w:rsidR="00D06E55">
      <w:type w:val="continuous"/>
      <w:pgSz w:w="12140" w:h="15840"/>
      <w:pgMar w:top="1440" w:right="307" w:bottom="547" w:left="42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A8327D"/>
    <w:multiLevelType w:val="hybridMultilevel"/>
    <w:tmpl w:val="25908D26"/>
    <w:lvl w:ilvl="0" w:tplc="7F5A05C4">
      <w:start w:val="1"/>
      <w:numFmt w:val="lowerLetter"/>
      <w:lvlText w:val="(%1)"/>
      <w:lvlJc w:val="left"/>
      <w:pPr>
        <w:ind w:left="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E147DF6">
      <w:start w:val="1"/>
      <w:numFmt w:val="decimal"/>
      <w:lvlText w:val="(%2)"/>
      <w:lvlJc w:val="left"/>
      <w:pPr>
        <w:ind w:left="6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D78DE46">
      <w:start w:val="1"/>
      <w:numFmt w:val="lowerRoman"/>
      <w:lvlText w:val="%3"/>
      <w:lvlJc w:val="left"/>
      <w:pPr>
        <w:ind w:left="14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940F514">
      <w:start w:val="1"/>
      <w:numFmt w:val="decimal"/>
      <w:lvlText w:val="%4"/>
      <w:lvlJc w:val="left"/>
      <w:pPr>
        <w:ind w:left="21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0F0F138">
      <w:start w:val="1"/>
      <w:numFmt w:val="lowerLetter"/>
      <w:lvlText w:val="%5"/>
      <w:lvlJc w:val="left"/>
      <w:pPr>
        <w:ind w:left="28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DB257CC">
      <w:start w:val="1"/>
      <w:numFmt w:val="lowerRoman"/>
      <w:lvlText w:val="%6"/>
      <w:lvlJc w:val="left"/>
      <w:pPr>
        <w:ind w:left="35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48A16B2">
      <w:start w:val="1"/>
      <w:numFmt w:val="decimal"/>
      <w:lvlText w:val="%7"/>
      <w:lvlJc w:val="left"/>
      <w:pPr>
        <w:ind w:left="42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F8E1546">
      <w:start w:val="1"/>
      <w:numFmt w:val="lowerLetter"/>
      <w:lvlText w:val="%8"/>
      <w:lvlJc w:val="left"/>
      <w:pPr>
        <w:ind w:left="50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886776A">
      <w:start w:val="1"/>
      <w:numFmt w:val="lowerRoman"/>
      <w:lvlText w:val="%9"/>
      <w:lvlJc w:val="left"/>
      <w:pPr>
        <w:ind w:left="57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307D64E6"/>
    <w:multiLevelType w:val="hybridMultilevel"/>
    <w:tmpl w:val="23DC2E86"/>
    <w:lvl w:ilvl="0" w:tplc="3FB6AE7A">
      <w:start w:val="1"/>
      <w:numFmt w:val="lowerLetter"/>
      <w:lvlText w:val="(%1)"/>
      <w:lvlJc w:val="left"/>
      <w:pPr>
        <w:ind w:left="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C4CB7BE">
      <w:start w:val="1"/>
      <w:numFmt w:val="decimal"/>
      <w:lvlText w:val="(%2)"/>
      <w:lvlJc w:val="left"/>
      <w:pPr>
        <w:ind w:left="3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10A7F9E">
      <w:start w:val="1"/>
      <w:numFmt w:val="lowerRoman"/>
      <w:lvlText w:val="%3"/>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71C7668">
      <w:start w:val="1"/>
      <w:numFmt w:val="decimal"/>
      <w:lvlText w:val="%4"/>
      <w:lvlJc w:val="left"/>
      <w:pPr>
        <w:ind w:left="21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00A37FA">
      <w:start w:val="1"/>
      <w:numFmt w:val="lowerLetter"/>
      <w:lvlText w:val="%5"/>
      <w:lvlJc w:val="left"/>
      <w:pPr>
        <w:ind w:left="28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0C8B89E">
      <w:start w:val="1"/>
      <w:numFmt w:val="lowerRoman"/>
      <w:lvlText w:val="%6"/>
      <w:lvlJc w:val="left"/>
      <w:pPr>
        <w:ind w:left="35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840D250">
      <w:start w:val="1"/>
      <w:numFmt w:val="decimal"/>
      <w:lvlText w:val="%7"/>
      <w:lvlJc w:val="left"/>
      <w:pPr>
        <w:ind w:left="43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F88448A">
      <w:start w:val="1"/>
      <w:numFmt w:val="lowerLetter"/>
      <w:lvlText w:val="%8"/>
      <w:lvlJc w:val="left"/>
      <w:pPr>
        <w:ind w:left="50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4686EFA">
      <w:start w:val="1"/>
      <w:numFmt w:val="lowerRoman"/>
      <w:lvlText w:val="%9"/>
      <w:lvlJc w:val="left"/>
      <w:pPr>
        <w:ind w:left="57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46246D5"/>
    <w:multiLevelType w:val="hybridMultilevel"/>
    <w:tmpl w:val="1B7CC556"/>
    <w:lvl w:ilvl="0" w:tplc="E8FCC058">
      <w:start w:val="1"/>
      <w:numFmt w:val="lowerLetter"/>
      <w:lvlText w:val="(%1)"/>
      <w:lvlJc w:val="left"/>
      <w:pPr>
        <w:ind w:left="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B04B706">
      <w:start w:val="1"/>
      <w:numFmt w:val="decimal"/>
      <w:lvlText w:val="(%2)"/>
      <w:lvlJc w:val="left"/>
      <w:pPr>
        <w:ind w:left="6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1AC7590">
      <w:start w:val="1"/>
      <w:numFmt w:val="lowerRoman"/>
      <w:lvlText w:val="%3"/>
      <w:lvlJc w:val="left"/>
      <w:pPr>
        <w:ind w:left="14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850B568">
      <w:start w:val="1"/>
      <w:numFmt w:val="decimal"/>
      <w:lvlText w:val="%4"/>
      <w:lvlJc w:val="left"/>
      <w:pPr>
        <w:ind w:left="21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3FE7CCE">
      <w:start w:val="1"/>
      <w:numFmt w:val="lowerLetter"/>
      <w:lvlText w:val="%5"/>
      <w:lvlJc w:val="left"/>
      <w:pPr>
        <w:ind w:left="28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15CA3B6">
      <w:start w:val="1"/>
      <w:numFmt w:val="lowerRoman"/>
      <w:lvlText w:val="%6"/>
      <w:lvlJc w:val="left"/>
      <w:pPr>
        <w:ind w:left="35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C2848F0">
      <w:start w:val="1"/>
      <w:numFmt w:val="decimal"/>
      <w:lvlText w:val="%7"/>
      <w:lvlJc w:val="left"/>
      <w:pPr>
        <w:ind w:left="43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79E64C2">
      <w:start w:val="1"/>
      <w:numFmt w:val="lowerLetter"/>
      <w:lvlText w:val="%8"/>
      <w:lvlJc w:val="left"/>
      <w:pPr>
        <w:ind w:left="50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39E05F8">
      <w:start w:val="1"/>
      <w:numFmt w:val="lowerRoman"/>
      <w:lvlText w:val="%9"/>
      <w:lvlJc w:val="left"/>
      <w:pPr>
        <w:ind w:left="57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3B9F05EA"/>
    <w:multiLevelType w:val="hybridMultilevel"/>
    <w:tmpl w:val="0C625F2A"/>
    <w:lvl w:ilvl="0" w:tplc="26BA38EE">
      <w:start w:val="1"/>
      <w:numFmt w:val="lowerLetter"/>
      <w:lvlText w:val="(%1)"/>
      <w:lvlJc w:val="left"/>
      <w:pPr>
        <w:ind w:left="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BB2E26A">
      <w:start w:val="1"/>
      <w:numFmt w:val="lowerLetter"/>
      <w:lvlText w:val="%2"/>
      <w:lvlJc w:val="left"/>
      <w:pPr>
        <w:ind w:left="10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E6C0636">
      <w:start w:val="1"/>
      <w:numFmt w:val="lowerRoman"/>
      <w:lvlText w:val="%3"/>
      <w:lvlJc w:val="left"/>
      <w:pPr>
        <w:ind w:left="18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60CA1B4">
      <w:start w:val="1"/>
      <w:numFmt w:val="decimal"/>
      <w:lvlText w:val="%4"/>
      <w:lvlJc w:val="left"/>
      <w:pPr>
        <w:ind w:left="25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CFE458C">
      <w:start w:val="1"/>
      <w:numFmt w:val="lowerLetter"/>
      <w:lvlText w:val="%5"/>
      <w:lvlJc w:val="left"/>
      <w:pPr>
        <w:ind w:left="32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E0EC0A0">
      <w:start w:val="1"/>
      <w:numFmt w:val="lowerRoman"/>
      <w:lvlText w:val="%6"/>
      <w:lvlJc w:val="left"/>
      <w:pPr>
        <w:ind w:left="39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57441E8">
      <w:start w:val="1"/>
      <w:numFmt w:val="decimal"/>
      <w:lvlText w:val="%7"/>
      <w:lvlJc w:val="left"/>
      <w:pPr>
        <w:ind w:left="46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1906C62">
      <w:start w:val="1"/>
      <w:numFmt w:val="lowerLetter"/>
      <w:lvlText w:val="%8"/>
      <w:lvlJc w:val="left"/>
      <w:pPr>
        <w:ind w:left="54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C56AB28">
      <w:start w:val="1"/>
      <w:numFmt w:val="lowerRoman"/>
      <w:lvlText w:val="%9"/>
      <w:lvlJc w:val="left"/>
      <w:pPr>
        <w:ind w:left="61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502433D7"/>
    <w:multiLevelType w:val="hybridMultilevel"/>
    <w:tmpl w:val="EF147136"/>
    <w:lvl w:ilvl="0" w:tplc="8642FA08">
      <w:start w:val="1"/>
      <w:numFmt w:val="lowerLetter"/>
      <w:lvlText w:val="(%1)"/>
      <w:lvlJc w:val="left"/>
      <w:pPr>
        <w:ind w:left="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F64409C">
      <w:start w:val="1"/>
      <w:numFmt w:val="lowerLetter"/>
      <w:lvlText w:val="%2"/>
      <w:lvlJc w:val="left"/>
      <w:pPr>
        <w:ind w:left="11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8847C84">
      <w:start w:val="1"/>
      <w:numFmt w:val="lowerRoman"/>
      <w:lvlText w:val="%3"/>
      <w:lvlJc w:val="left"/>
      <w:pPr>
        <w:ind w:left="18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8C8DDB4">
      <w:start w:val="1"/>
      <w:numFmt w:val="decimal"/>
      <w:lvlText w:val="%4"/>
      <w:lvlJc w:val="left"/>
      <w:pPr>
        <w:ind w:left="25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396F692">
      <w:start w:val="1"/>
      <w:numFmt w:val="lowerLetter"/>
      <w:lvlText w:val="%5"/>
      <w:lvlJc w:val="left"/>
      <w:pPr>
        <w:ind w:left="32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97E9F6C">
      <w:start w:val="1"/>
      <w:numFmt w:val="lowerRoman"/>
      <w:lvlText w:val="%6"/>
      <w:lvlJc w:val="left"/>
      <w:pPr>
        <w:ind w:left="39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9D883EA">
      <w:start w:val="1"/>
      <w:numFmt w:val="decimal"/>
      <w:lvlText w:val="%7"/>
      <w:lvlJc w:val="left"/>
      <w:pPr>
        <w:ind w:left="47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550E45C">
      <w:start w:val="1"/>
      <w:numFmt w:val="lowerLetter"/>
      <w:lvlText w:val="%8"/>
      <w:lvlJc w:val="left"/>
      <w:pPr>
        <w:ind w:left="54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2B231DE">
      <w:start w:val="1"/>
      <w:numFmt w:val="lowerRoman"/>
      <w:lvlText w:val="%9"/>
      <w:lvlJc w:val="left"/>
      <w:pPr>
        <w:ind w:left="61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6E656586"/>
    <w:multiLevelType w:val="hybridMultilevel"/>
    <w:tmpl w:val="1BAA9B94"/>
    <w:lvl w:ilvl="0" w:tplc="E2CC4DAC">
      <w:start w:val="1"/>
      <w:numFmt w:val="lowerLetter"/>
      <w:lvlText w:val="(%1)"/>
      <w:lvlJc w:val="left"/>
      <w:pPr>
        <w:ind w:left="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F8E7480">
      <w:start w:val="1"/>
      <w:numFmt w:val="decimal"/>
      <w:lvlText w:val="(%2)"/>
      <w:lvlJc w:val="left"/>
      <w:pPr>
        <w:ind w:left="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0FA8888">
      <w:start w:val="1"/>
      <w:numFmt w:val="lowerRoman"/>
      <w:lvlText w:val="%3"/>
      <w:lvlJc w:val="left"/>
      <w:pPr>
        <w:ind w:left="14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90AB72E">
      <w:start w:val="1"/>
      <w:numFmt w:val="decimal"/>
      <w:lvlText w:val="%4"/>
      <w:lvlJc w:val="left"/>
      <w:pPr>
        <w:ind w:left="21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F2A0090">
      <w:start w:val="1"/>
      <w:numFmt w:val="lowerLetter"/>
      <w:lvlText w:val="%5"/>
      <w:lvlJc w:val="left"/>
      <w:pPr>
        <w:ind w:left="28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9FC4BEA">
      <w:start w:val="1"/>
      <w:numFmt w:val="lowerRoman"/>
      <w:lvlText w:val="%6"/>
      <w:lvlJc w:val="left"/>
      <w:pPr>
        <w:ind w:left="35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3BC0DE8">
      <w:start w:val="1"/>
      <w:numFmt w:val="decimal"/>
      <w:lvlText w:val="%7"/>
      <w:lvlJc w:val="left"/>
      <w:pPr>
        <w:ind w:left="42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7EAF298">
      <w:start w:val="1"/>
      <w:numFmt w:val="lowerLetter"/>
      <w:lvlText w:val="%8"/>
      <w:lvlJc w:val="left"/>
      <w:pPr>
        <w:ind w:left="50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C7095D4">
      <w:start w:val="1"/>
      <w:numFmt w:val="lowerRoman"/>
      <w:lvlText w:val="%9"/>
      <w:lvlJc w:val="left"/>
      <w:pPr>
        <w:ind w:left="57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3"/>
  </w:num>
  <w:num w:numId="2">
    <w:abstractNumId w:val="4"/>
  </w:num>
  <w:num w:numId="3">
    <w:abstractNumId w:val="1"/>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6E55"/>
    <w:rsid w:val="00A44BD3"/>
    <w:rsid w:val="00D06E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5113E8-01EC-439D-B570-4FD8592A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7" w:line="227" w:lineRule="auto"/>
      <w:ind w:left="5" w:firstLine="4"/>
      <w:jc w:val="both"/>
    </w:pPr>
    <w:rPr>
      <w:rFonts w:ascii="Calibri" w:eastAsia="Calibri" w:hAnsi="Calibri" w:cs="Calibri"/>
      <w:color w:val="000000"/>
      <w:sz w:val="20"/>
    </w:rPr>
  </w:style>
  <w:style w:type="paragraph" w:styleId="Heading1">
    <w:name w:val="heading 1"/>
    <w:next w:val="Normal"/>
    <w:link w:val="Heading1Char"/>
    <w:uiPriority w:val="9"/>
    <w:qFormat/>
    <w:pPr>
      <w:keepNext/>
      <w:keepLines/>
      <w:spacing w:after="5"/>
      <w:ind w:left="29" w:hanging="10"/>
      <w:outlineLvl w:val="0"/>
    </w:pPr>
    <w:rPr>
      <w:rFonts w:ascii="Calibri" w:eastAsia="Calibri" w:hAnsi="Calibri" w:cs="Calibri"/>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4.jpg"/><Relationship Id="rId13" Type="http://schemas.openxmlformats.org/officeDocument/2006/relationships/image" Target="media/image9.jpg"/><Relationship Id="rId3" Type="http://schemas.openxmlformats.org/officeDocument/2006/relationships/settings" Target="settings.xml"/><Relationship Id="rId7" Type="http://schemas.openxmlformats.org/officeDocument/2006/relationships/image" Target="media/image3.jpg"/><Relationship Id="rId12" Type="http://schemas.openxmlformats.org/officeDocument/2006/relationships/image" Target="media/image8.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11" Type="http://schemas.openxmlformats.org/officeDocument/2006/relationships/image" Target="media/image7.jpg"/><Relationship Id="rId5" Type="http://schemas.openxmlformats.org/officeDocument/2006/relationships/image" Target="media/image1.jpg"/><Relationship Id="rId15" Type="http://schemas.openxmlformats.org/officeDocument/2006/relationships/theme" Target="theme/theme1.xml"/><Relationship Id="rId10" Type="http://schemas.openxmlformats.org/officeDocument/2006/relationships/image" Target="media/image6.jpg"/><Relationship Id="rId4" Type="http://schemas.openxmlformats.org/officeDocument/2006/relationships/webSettings" Target="webSettings.xml"/><Relationship Id="rId9" Type="http://schemas.openxmlformats.org/officeDocument/2006/relationships/image" Target="media/image5.jp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1608</Words>
  <Characters>9172</Characters>
  <Application>Microsoft Office Word</Application>
  <DocSecurity>0</DocSecurity>
  <Lines>76</Lines>
  <Paragraphs>21</Paragraphs>
  <ScaleCrop>false</ScaleCrop>
  <Company>Woonsocket Housing Authority</Company>
  <LinksUpToDate>false</LinksUpToDate>
  <CharactersWithSpaces>10759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Unknown</dc:title>
  <dc:subject/>
  <dc:creator>Brenda Smoot</dc:creator>
  <cp:keywords/>
  <cp:lastModifiedBy>Susan Castrataro</cp:lastModifiedBy>
  <cp:revision>2</cp:revision>
  <dcterms:created xsi:type="dcterms:W3CDTF">2022-03-29T18:40:00Z</dcterms:created>
  <dcterms:modified xsi:type="dcterms:W3CDTF">2022-03-29T18:40:00Z</dcterms:modified>
</cp:coreProperties>
</file>